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6C4" w:rsidRDefault="00CD3714">
      <w:pPr>
        <w:rPr>
          <w:lang w:val="pt-BR"/>
        </w:rPr>
      </w:pPr>
    </w:p>
    <w:p w:rsidR="00937663" w:rsidRPr="00CD3714" w:rsidRDefault="00937663" w:rsidP="00937663">
      <w:pPr>
        <w:pStyle w:val="Ttulo2"/>
        <w:pBdr>
          <w:top w:val="single" w:sz="12" w:space="5" w:color="172838"/>
          <w:bottom w:val="single" w:sz="6" w:space="0" w:color="CCCCCC"/>
        </w:pBdr>
        <w:shd w:val="clear" w:color="auto" w:fill="FFFFFF"/>
        <w:spacing w:before="0" w:after="204" w:line="240" w:lineRule="atLeast"/>
        <w:textAlignment w:val="baseline"/>
        <w:rPr>
          <w:rFonts w:ascii="Arial" w:hAnsi="Arial" w:cs="Arial"/>
          <w:color w:val="2C67CD"/>
          <w:spacing w:val="-12"/>
          <w:sz w:val="41"/>
          <w:szCs w:val="41"/>
          <w:lang w:val="pt-BR"/>
        </w:rPr>
      </w:pPr>
      <w:r w:rsidRPr="00CD3714">
        <w:rPr>
          <w:rFonts w:ascii="Arial" w:hAnsi="Arial" w:cs="Arial"/>
          <w:color w:val="2C67CD"/>
          <w:spacing w:val="-12"/>
          <w:sz w:val="41"/>
          <w:szCs w:val="41"/>
          <w:lang w:val="pt-BR"/>
        </w:rPr>
        <w:t>Lei Anticorrupção</w:t>
      </w: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  <w:r>
        <w:rPr>
          <w:rFonts w:ascii="Arial" w:hAnsi="Arial" w:cs="Arial"/>
          <w:color w:val="172938"/>
          <w:sz w:val="28"/>
          <w:szCs w:val="28"/>
        </w:rPr>
        <w:t>A</w:t>
      </w:r>
      <w:r>
        <w:rPr>
          <w:rStyle w:val="apple-converted-space"/>
          <w:rFonts w:ascii="Arial" w:hAnsi="Arial" w:cs="Arial"/>
          <w:color w:val="172938"/>
          <w:sz w:val="28"/>
          <w:szCs w:val="28"/>
        </w:rPr>
        <w:t> </w:t>
      </w:r>
      <w:hyperlink r:id="rId5" w:tgtFrame="_blank" w:history="1">
        <w:r>
          <w:rPr>
            <w:rStyle w:val="Hyperlink"/>
            <w:rFonts w:ascii="Arial" w:hAnsi="Arial" w:cs="Arial"/>
            <w:color w:val="2C67CD"/>
            <w:sz w:val="28"/>
            <w:szCs w:val="28"/>
          </w:rPr>
          <w:t>Lei nº 12.846/2013</w:t>
        </w:r>
      </w:hyperlink>
      <w:r>
        <w:rPr>
          <w:rFonts w:ascii="Arial" w:hAnsi="Arial" w:cs="Arial"/>
          <w:color w:val="172938"/>
          <w:sz w:val="28"/>
          <w:szCs w:val="28"/>
        </w:rPr>
        <w:t>, também conhecida como Lei Anticorrupção, representa importante avanço ao prever a responsabilização objetiva, no âmbito civil e administrativo, de empresas que praticam atos lesivos contra a administração pública nacional ou estrangeira.</w:t>
      </w: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</w:p>
    <w:p w:rsidR="00937663" w:rsidRDefault="00937663" w:rsidP="00937663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  <w:r>
        <w:rPr>
          <w:rFonts w:ascii="Arial" w:hAnsi="Arial" w:cs="Arial"/>
          <w:color w:val="172938"/>
          <w:sz w:val="28"/>
          <w:szCs w:val="28"/>
        </w:rPr>
        <w:t>Além de atender a compromissos internacionais assumidos pelo Brasil, a nova lei finalmente fecha uma lacuna no ordenamento jurídico do país ao tratar diretamente da conduta dos corruptores.</w:t>
      </w:r>
    </w:p>
    <w:p w:rsidR="00937663" w:rsidRDefault="00937663" w:rsidP="00937663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  <w:r>
        <w:rPr>
          <w:rFonts w:ascii="Arial" w:hAnsi="Arial" w:cs="Arial"/>
          <w:color w:val="172938"/>
          <w:sz w:val="28"/>
          <w:szCs w:val="28"/>
        </w:rPr>
        <w:t>Controladoria-Geral da União (CGU) é responsável grande parte dos procedimentos como instauração e julgamento dos processos administrativos de responsabilização e celebração dos acordos de leniência no âmbito do Poder Executivo Federal.</w:t>
      </w:r>
    </w:p>
    <w:p w:rsidR="00F55A51" w:rsidRDefault="00F55A51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7048500" cy="4572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3" w:rsidRPr="009078A3" w:rsidRDefault="00CD3714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lang w:val="pt-BR" w:eastAsia="pt-BR"/>
        </w:rPr>
      </w:pPr>
      <w:hyperlink r:id="rId7" w:history="1">
        <w:r w:rsidR="009078A3" w:rsidRPr="009078A3">
          <w:rPr>
            <w:rFonts w:ascii="Arial" w:eastAsia="Times New Roman" w:hAnsi="Arial" w:cs="Arial"/>
            <w:b/>
            <w:bCs/>
            <w:color w:val="2C67CD"/>
            <w:sz w:val="17"/>
            <w:szCs w:val="17"/>
            <w:lang w:val="pt-BR" w:eastAsia="pt-BR"/>
          </w:rPr>
          <w:t>Lei Anticorrupção - Entenda a Regulamentação</w:t>
        </w:r>
      </w:hyperlink>
    </w:p>
    <w:p w:rsidR="009078A3" w:rsidRPr="009078A3" w:rsidRDefault="009078A3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color w:val="434446"/>
          <w:lang w:val="pt-BR" w:eastAsia="pt-BR"/>
        </w:rPr>
      </w:pPr>
      <w:r w:rsidRPr="009078A3">
        <w:rPr>
          <w:rFonts w:ascii="Arial" w:eastAsia="Times New Roman" w:hAnsi="Arial" w:cs="Arial"/>
          <w:color w:val="434446"/>
          <w:lang w:val="pt-BR" w:eastAsia="pt-BR"/>
        </w:rPr>
        <w:t>Agora as empresas são responsabilizadas por práticas ilícitas contra a Administração Pública e poderão pagar multas de até 20% de seu faturamento. Saiba mais sobre os cinco pontos do decreto n° 8.420, de 18 de março de 2015, que regulamenta a Lei Anticorrupção, a exemplo da forma de cálculo da multa e das regras para o acordo de leniência.</w:t>
      </w: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7000875" cy="53435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3" w:rsidRPr="009078A3" w:rsidRDefault="00CD3714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lang w:val="pt-BR" w:eastAsia="pt-BR"/>
        </w:rPr>
      </w:pPr>
      <w:hyperlink r:id="rId9" w:history="1">
        <w:r w:rsidR="009078A3" w:rsidRPr="009078A3">
          <w:rPr>
            <w:rFonts w:ascii="Arial" w:eastAsia="Times New Roman" w:hAnsi="Arial" w:cs="Arial"/>
            <w:b/>
            <w:bCs/>
            <w:color w:val="2C67CD"/>
            <w:sz w:val="17"/>
            <w:szCs w:val="17"/>
            <w:lang w:val="pt-BR" w:eastAsia="pt-BR"/>
          </w:rPr>
          <w:t>Lei Anticorrupção - Responsabilização Administrativa</w:t>
        </w:r>
      </w:hyperlink>
    </w:p>
    <w:p w:rsidR="009078A3" w:rsidRPr="009078A3" w:rsidRDefault="009078A3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color w:val="434446"/>
          <w:lang w:val="pt-BR" w:eastAsia="pt-BR"/>
        </w:rPr>
      </w:pPr>
      <w:r w:rsidRPr="009078A3">
        <w:rPr>
          <w:rFonts w:ascii="Arial" w:eastAsia="Times New Roman" w:hAnsi="Arial" w:cs="Arial"/>
          <w:color w:val="434446"/>
          <w:lang w:val="pt-BR" w:eastAsia="pt-BR"/>
        </w:rPr>
        <w:t xml:space="preserve">No caso de ato lesivo contra órgão da administração direta, cabe ao ministro de estado instaurar e julgar o Processo Administrativo de Responsabilização (PAR). Nas estatais, a competência é da autoridade máxima da entidade. A CGU, de forma exclusiva, pode avocar (chamar para si) os processos instaurados nos demais órgãos para exame de sua regularidade ou para </w:t>
      </w:r>
      <w:proofErr w:type="spellStart"/>
      <w:r w:rsidRPr="009078A3">
        <w:rPr>
          <w:rFonts w:ascii="Arial" w:eastAsia="Times New Roman" w:hAnsi="Arial" w:cs="Arial"/>
          <w:color w:val="434446"/>
          <w:lang w:val="pt-BR" w:eastAsia="pt-BR"/>
        </w:rPr>
        <w:t>corrigir-lhes</w:t>
      </w:r>
      <w:proofErr w:type="spellEnd"/>
      <w:r w:rsidRPr="009078A3">
        <w:rPr>
          <w:rFonts w:ascii="Arial" w:eastAsia="Times New Roman" w:hAnsi="Arial" w:cs="Arial"/>
          <w:color w:val="434446"/>
          <w:lang w:val="pt-BR" w:eastAsia="pt-BR"/>
        </w:rPr>
        <w:t xml:space="preserve"> o andamento.</w:t>
      </w: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7019925" cy="52101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3" w:rsidRPr="009078A3" w:rsidRDefault="00CD3714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lang w:val="pt-BR" w:eastAsia="pt-BR"/>
        </w:rPr>
      </w:pPr>
      <w:hyperlink r:id="rId11" w:history="1">
        <w:r w:rsidR="009078A3" w:rsidRPr="009078A3">
          <w:rPr>
            <w:rFonts w:ascii="Arial" w:eastAsia="Times New Roman" w:hAnsi="Arial" w:cs="Arial"/>
            <w:b/>
            <w:bCs/>
            <w:color w:val="2C67CD"/>
            <w:sz w:val="17"/>
            <w:szCs w:val="17"/>
            <w:lang w:val="pt-BR" w:eastAsia="pt-BR"/>
          </w:rPr>
          <w:t>Lei Anticorrupção - Multa</w:t>
        </w:r>
      </w:hyperlink>
    </w:p>
    <w:p w:rsidR="009078A3" w:rsidRPr="009078A3" w:rsidRDefault="009078A3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color w:val="434446"/>
          <w:lang w:val="pt-BR" w:eastAsia="pt-BR"/>
        </w:rPr>
      </w:pPr>
      <w:r w:rsidRPr="009078A3">
        <w:rPr>
          <w:rFonts w:ascii="Arial" w:eastAsia="Times New Roman" w:hAnsi="Arial" w:cs="Arial"/>
          <w:color w:val="434446"/>
          <w:lang w:val="pt-BR" w:eastAsia="pt-BR"/>
        </w:rPr>
        <w:t>A lei tem um parâmetro muito importante: a punição nunca será menor do que o valor da vantagem auferida de forma ilícita pela empresa. Dessa forma, o decreto especifica o cálculo da multa a partir do resultado da soma e subtração de percentuais incidentes sobre o faturamento bruto da empresa.</w:t>
      </w: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962775" cy="52101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3" w:rsidRPr="009078A3" w:rsidRDefault="00CD3714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lang w:val="pt-BR" w:eastAsia="pt-BR"/>
        </w:rPr>
      </w:pPr>
      <w:hyperlink r:id="rId13" w:history="1">
        <w:r w:rsidR="009078A3" w:rsidRPr="009078A3">
          <w:rPr>
            <w:rFonts w:ascii="Arial" w:eastAsia="Times New Roman" w:hAnsi="Arial" w:cs="Arial"/>
            <w:b/>
            <w:bCs/>
            <w:color w:val="2C67CD"/>
            <w:sz w:val="17"/>
            <w:szCs w:val="17"/>
            <w:lang w:val="pt-BR" w:eastAsia="pt-BR"/>
          </w:rPr>
          <w:t xml:space="preserve">Lei Anticorrupção - </w:t>
        </w:r>
        <w:proofErr w:type="gramStart"/>
        <w:r w:rsidR="009078A3" w:rsidRPr="009078A3">
          <w:rPr>
            <w:rFonts w:ascii="Arial" w:eastAsia="Times New Roman" w:hAnsi="Arial" w:cs="Arial"/>
            <w:b/>
            <w:bCs/>
            <w:color w:val="2C67CD"/>
            <w:sz w:val="17"/>
            <w:szCs w:val="17"/>
            <w:lang w:val="pt-BR" w:eastAsia="pt-BR"/>
          </w:rPr>
          <w:t>Acordo</w:t>
        </w:r>
        <w:proofErr w:type="gramEnd"/>
        <w:r w:rsidR="009078A3" w:rsidRPr="009078A3">
          <w:rPr>
            <w:rFonts w:ascii="Arial" w:eastAsia="Times New Roman" w:hAnsi="Arial" w:cs="Arial"/>
            <w:b/>
            <w:bCs/>
            <w:color w:val="2C67CD"/>
            <w:sz w:val="17"/>
            <w:szCs w:val="17"/>
            <w:lang w:val="pt-BR" w:eastAsia="pt-BR"/>
          </w:rPr>
          <w:t xml:space="preserve"> de Leniência</w:t>
        </w:r>
      </w:hyperlink>
    </w:p>
    <w:p w:rsidR="009078A3" w:rsidRPr="009078A3" w:rsidRDefault="009078A3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color w:val="434446"/>
          <w:lang w:val="pt-BR" w:eastAsia="pt-BR"/>
        </w:rPr>
      </w:pPr>
      <w:r w:rsidRPr="009078A3">
        <w:rPr>
          <w:rFonts w:ascii="Arial" w:eastAsia="Times New Roman" w:hAnsi="Arial" w:cs="Arial"/>
          <w:color w:val="434446"/>
          <w:lang w:val="pt-BR" w:eastAsia="pt-BR"/>
        </w:rPr>
        <w:t xml:space="preserve">O acordo de leniência tem o objetivo de fazer com que as empresas colaborem efetivamente com as investigações e com o processo administrativo. Dele deve resultar a identificação dos demais envolvidos na infração administrativa, quando couber; e a obtenção célere de informações e documentos que comprovem a infração </w:t>
      </w:r>
      <w:proofErr w:type="gramStart"/>
      <w:r w:rsidRPr="009078A3">
        <w:rPr>
          <w:rFonts w:ascii="Arial" w:eastAsia="Times New Roman" w:hAnsi="Arial" w:cs="Arial"/>
          <w:color w:val="434446"/>
          <w:lang w:val="pt-BR" w:eastAsia="pt-BR"/>
        </w:rPr>
        <w:t>sob apuração</w:t>
      </w:r>
      <w:proofErr w:type="gramEnd"/>
      <w:r w:rsidRPr="009078A3">
        <w:rPr>
          <w:rFonts w:ascii="Arial" w:eastAsia="Times New Roman" w:hAnsi="Arial" w:cs="Arial"/>
          <w:color w:val="434446"/>
          <w:lang w:val="pt-BR" w:eastAsia="pt-BR"/>
        </w:rPr>
        <w:t>. É dever da empresa a reparação integral do dano.</w:t>
      </w: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943725" cy="51911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3" w:rsidRPr="009078A3" w:rsidRDefault="00CD3714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lang w:val="pt-BR" w:eastAsia="pt-BR"/>
        </w:rPr>
      </w:pPr>
      <w:hyperlink r:id="rId15" w:history="1">
        <w:r w:rsidR="009078A3" w:rsidRPr="009078A3">
          <w:rPr>
            <w:rFonts w:ascii="Arial" w:eastAsia="Times New Roman" w:hAnsi="Arial" w:cs="Arial"/>
            <w:b/>
            <w:bCs/>
            <w:color w:val="2C67CD"/>
            <w:sz w:val="17"/>
            <w:szCs w:val="17"/>
            <w:lang w:val="pt-BR" w:eastAsia="pt-BR"/>
          </w:rPr>
          <w:t>Lei Anticorrupção - Programa de Integridade</w:t>
        </w:r>
      </w:hyperlink>
    </w:p>
    <w:p w:rsidR="009078A3" w:rsidRPr="009078A3" w:rsidRDefault="009078A3" w:rsidP="009078A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color w:val="434446"/>
          <w:lang w:val="pt-BR" w:eastAsia="pt-BR"/>
        </w:rPr>
      </w:pPr>
      <w:r w:rsidRPr="009078A3">
        <w:rPr>
          <w:rFonts w:ascii="Arial" w:eastAsia="Times New Roman" w:hAnsi="Arial" w:cs="Arial"/>
          <w:color w:val="434446"/>
          <w:lang w:val="pt-BR" w:eastAsia="pt-BR"/>
        </w:rPr>
        <w:t xml:space="preserve">O programa de integridade deve ser </w:t>
      </w:r>
      <w:proofErr w:type="gramStart"/>
      <w:r w:rsidRPr="009078A3">
        <w:rPr>
          <w:rFonts w:ascii="Arial" w:eastAsia="Times New Roman" w:hAnsi="Arial" w:cs="Arial"/>
          <w:color w:val="434446"/>
          <w:lang w:val="pt-BR" w:eastAsia="pt-BR"/>
        </w:rPr>
        <w:t>estruturado, aplicado</w:t>
      </w:r>
      <w:proofErr w:type="gramEnd"/>
      <w:r w:rsidRPr="009078A3">
        <w:rPr>
          <w:rFonts w:ascii="Arial" w:eastAsia="Times New Roman" w:hAnsi="Arial" w:cs="Arial"/>
          <w:color w:val="434446"/>
          <w:lang w:val="pt-BR" w:eastAsia="pt-BR"/>
        </w:rPr>
        <w:t xml:space="preserve"> e atualizado de acordo com as características e riscos atuais das atividades de cada pessoa jurídica.</w:t>
      </w: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924675" cy="52101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63" w:rsidRPr="00937663" w:rsidRDefault="00CD3714" w:rsidP="0093766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lang w:val="pt-BR" w:eastAsia="pt-BR"/>
        </w:rPr>
      </w:pPr>
      <w:hyperlink r:id="rId17" w:history="1">
        <w:r w:rsidR="00937663" w:rsidRPr="00937663">
          <w:rPr>
            <w:rFonts w:ascii="Arial" w:eastAsia="Times New Roman" w:hAnsi="Arial" w:cs="Arial"/>
            <w:b/>
            <w:bCs/>
            <w:color w:val="0000FF"/>
            <w:sz w:val="17"/>
            <w:szCs w:val="17"/>
            <w:lang w:val="pt-BR" w:eastAsia="pt-BR"/>
          </w:rPr>
          <w:t>Lei Anticorrupção - Cadastros Nacionais</w:t>
        </w:r>
      </w:hyperlink>
    </w:p>
    <w:p w:rsidR="00937663" w:rsidRPr="00937663" w:rsidRDefault="00937663" w:rsidP="00937663">
      <w:pPr>
        <w:shd w:val="clear" w:color="auto" w:fill="EEEFF1"/>
        <w:spacing w:after="0" w:line="281" w:lineRule="atLeast"/>
        <w:textAlignment w:val="baseline"/>
        <w:rPr>
          <w:rFonts w:ascii="Arial" w:eastAsia="Times New Roman" w:hAnsi="Arial" w:cs="Arial"/>
          <w:color w:val="434446"/>
          <w:lang w:val="pt-BR" w:eastAsia="pt-BR"/>
        </w:rPr>
      </w:pPr>
      <w:proofErr w:type="gramStart"/>
      <w:r w:rsidRPr="00937663">
        <w:rPr>
          <w:rFonts w:ascii="Arial" w:eastAsia="Times New Roman" w:hAnsi="Arial" w:cs="Arial"/>
          <w:color w:val="434446"/>
          <w:lang w:val="pt-BR" w:eastAsia="pt-BR"/>
        </w:rPr>
        <w:t>O cadastros</w:t>
      </w:r>
      <w:proofErr w:type="gramEnd"/>
      <w:r w:rsidRPr="00937663">
        <w:rPr>
          <w:rFonts w:ascii="Arial" w:eastAsia="Times New Roman" w:hAnsi="Arial" w:cs="Arial"/>
          <w:color w:val="434446"/>
          <w:lang w:val="pt-BR" w:eastAsia="pt-BR"/>
        </w:rPr>
        <w:t xml:space="preserve"> são geridos pela CGU e o fornecimento dos dados será realizado pelos órgãos e entidades dos três poderes (Executivo, Legislativo e Judiciário) e das três esferas da federação (União, Estados e Municípios).</w:t>
      </w:r>
    </w:p>
    <w:p w:rsidR="009078A3" w:rsidRDefault="009078A3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937663" w:rsidRPr="00937663" w:rsidRDefault="00937663" w:rsidP="00937663">
      <w:pPr>
        <w:pBdr>
          <w:top w:val="single" w:sz="12" w:space="5" w:color="172838"/>
          <w:bottom w:val="single" w:sz="6" w:space="0" w:color="CCCCCC"/>
        </w:pBdr>
        <w:shd w:val="clear" w:color="auto" w:fill="FFFFFF"/>
        <w:spacing w:after="204"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2C67CD"/>
          <w:sz w:val="41"/>
          <w:szCs w:val="41"/>
          <w:lang w:val="pt-BR" w:eastAsia="pt-BR"/>
        </w:rPr>
      </w:pPr>
      <w:r w:rsidRPr="00937663">
        <w:rPr>
          <w:rFonts w:ascii="Arial" w:eastAsia="Times New Roman" w:hAnsi="Arial" w:cs="Arial"/>
          <w:b/>
          <w:bCs/>
          <w:color w:val="2C67CD"/>
          <w:sz w:val="41"/>
          <w:szCs w:val="41"/>
          <w:lang w:val="pt-BR" w:eastAsia="pt-BR"/>
        </w:rPr>
        <w:t>Inovações</w:t>
      </w: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  <w:r>
        <w:rPr>
          <w:rStyle w:val="Forte"/>
          <w:rFonts w:ascii="Arial" w:hAnsi="Arial" w:cs="Arial"/>
          <w:color w:val="172938"/>
          <w:sz w:val="28"/>
          <w:szCs w:val="28"/>
        </w:rPr>
        <w:lastRenderedPageBreak/>
        <w:t>Responsabilidade Objetiva:</w:t>
      </w:r>
      <w:r>
        <w:rPr>
          <w:rStyle w:val="apple-converted-space"/>
          <w:rFonts w:ascii="Arial" w:hAnsi="Arial" w:cs="Arial"/>
          <w:color w:val="172938"/>
          <w:sz w:val="28"/>
          <w:szCs w:val="28"/>
        </w:rPr>
        <w:t> </w:t>
      </w:r>
      <w:r>
        <w:rPr>
          <w:rFonts w:ascii="Arial" w:hAnsi="Arial" w:cs="Arial"/>
          <w:color w:val="172938"/>
          <w:sz w:val="28"/>
          <w:szCs w:val="28"/>
        </w:rPr>
        <w:t>empresas podem ser responsabilizadas em casos de corrupção, independentemente da comprovação de culpa.</w:t>
      </w: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  <w:r>
        <w:rPr>
          <w:rStyle w:val="Forte"/>
          <w:rFonts w:ascii="Arial" w:hAnsi="Arial" w:cs="Arial"/>
          <w:color w:val="172938"/>
          <w:sz w:val="28"/>
          <w:szCs w:val="28"/>
        </w:rPr>
        <w:t>Penas mais rígidas:</w:t>
      </w:r>
      <w:r>
        <w:rPr>
          <w:rStyle w:val="apple-converted-space"/>
          <w:rFonts w:ascii="Arial" w:hAnsi="Arial" w:cs="Arial"/>
          <w:color w:val="172938"/>
          <w:sz w:val="28"/>
          <w:szCs w:val="28"/>
        </w:rPr>
        <w:t> </w:t>
      </w:r>
      <w:r>
        <w:rPr>
          <w:rFonts w:ascii="Arial" w:hAnsi="Arial" w:cs="Arial"/>
          <w:color w:val="172938"/>
          <w:sz w:val="28"/>
          <w:szCs w:val="28"/>
        </w:rPr>
        <w:t>valor das multas pode chegar até a 20% do faturamento bruto anual da empresa, ou até 60 milhões de reais, quando não for possível calcular o faturamento bruto. Na esfera judicial, pode ser aplicada até mesmo a dissolução compulsória da pessoa jurídica.</w:t>
      </w: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  <w:r>
        <w:rPr>
          <w:rStyle w:val="Forte"/>
          <w:rFonts w:ascii="Arial" w:hAnsi="Arial" w:cs="Arial"/>
          <w:color w:val="172938"/>
          <w:sz w:val="28"/>
          <w:szCs w:val="28"/>
        </w:rPr>
        <w:t>Acordo de Leniência:</w:t>
      </w:r>
      <w:r>
        <w:rPr>
          <w:rStyle w:val="apple-converted-space"/>
          <w:rFonts w:ascii="Arial" w:hAnsi="Arial" w:cs="Arial"/>
          <w:color w:val="172938"/>
          <w:sz w:val="28"/>
          <w:szCs w:val="28"/>
        </w:rPr>
        <w:t> </w:t>
      </w:r>
      <w:r>
        <w:rPr>
          <w:rFonts w:ascii="Arial" w:hAnsi="Arial" w:cs="Arial"/>
          <w:color w:val="172938"/>
          <w:sz w:val="28"/>
          <w:szCs w:val="28"/>
        </w:rPr>
        <w:t>Se uma empresa cooperar com as investigações, ela pode conseguir uma redução das penalidades.</w:t>
      </w: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</w:p>
    <w:p w:rsidR="00937663" w:rsidRDefault="00937663" w:rsidP="009376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2938"/>
          <w:sz w:val="28"/>
          <w:szCs w:val="28"/>
        </w:rPr>
      </w:pPr>
      <w:r>
        <w:rPr>
          <w:rStyle w:val="Forte"/>
          <w:rFonts w:ascii="Arial" w:hAnsi="Arial" w:cs="Arial"/>
          <w:color w:val="172938"/>
          <w:sz w:val="28"/>
          <w:szCs w:val="28"/>
        </w:rPr>
        <w:t>Abrangência:</w:t>
      </w:r>
      <w:r>
        <w:rPr>
          <w:rStyle w:val="apple-converted-space"/>
          <w:rFonts w:ascii="Arial" w:hAnsi="Arial" w:cs="Arial"/>
          <w:color w:val="172938"/>
          <w:sz w:val="28"/>
          <w:szCs w:val="28"/>
        </w:rPr>
        <w:t> </w:t>
      </w:r>
      <w:r>
        <w:rPr>
          <w:rFonts w:ascii="Arial" w:hAnsi="Arial" w:cs="Arial"/>
          <w:color w:val="172938"/>
          <w:sz w:val="28"/>
          <w:szCs w:val="28"/>
        </w:rPr>
        <w:t>Lei pode ser aplicada pela União, estados e municípios e tem competência inclusive sobre as empresas brasileiras atuando no exterior. </w:t>
      </w: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Pr="00937663" w:rsidRDefault="00937663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696075" cy="22574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Pr="00937663" w:rsidRDefault="00937663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6038850" cy="28575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937663" w:rsidRDefault="00937663">
      <w:pPr>
        <w:rPr>
          <w:lang w:val="pt-BR"/>
        </w:rPr>
      </w:pPr>
    </w:p>
    <w:p w:rsidR="00F55A51" w:rsidRDefault="00937663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6029325" cy="410527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F55A51" w:rsidRDefault="00F55A51">
      <w:pPr>
        <w:rPr>
          <w:lang w:val="pt-BR"/>
        </w:rPr>
      </w:pPr>
    </w:p>
    <w:p w:rsidR="00CD3714" w:rsidRDefault="00CD3714">
      <w:pPr>
        <w:rPr>
          <w:lang w:val="pt-BR"/>
        </w:rPr>
      </w:pPr>
    </w:p>
    <w:p w:rsidR="00CD3714" w:rsidRPr="00CD3714" w:rsidRDefault="00CD3714" w:rsidP="00CD3714">
      <w:pPr>
        <w:rPr>
          <w:b/>
          <w:sz w:val="32"/>
          <w:szCs w:val="32"/>
          <w:lang w:val="pt-BR"/>
        </w:rPr>
      </w:pPr>
      <w:bookmarkStart w:id="0" w:name="_GoBack"/>
      <w:r w:rsidRPr="00CD3714">
        <w:rPr>
          <w:b/>
          <w:sz w:val="32"/>
          <w:szCs w:val="32"/>
          <w:lang w:val="pt-BR"/>
        </w:rPr>
        <w:t>Fonte: Controladoria Geral da União – www.cgu.gov.br</w:t>
      </w:r>
    </w:p>
    <w:bookmarkEnd w:id="0"/>
    <w:p w:rsidR="00CD3714" w:rsidRPr="00F55A51" w:rsidRDefault="00CD3714">
      <w:pPr>
        <w:rPr>
          <w:lang w:val="pt-BR"/>
        </w:rPr>
      </w:pPr>
    </w:p>
    <w:sectPr w:rsidR="00CD3714" w:rsidRPr="00F55A51" w:rsidSect="00F55A5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A51"/>
    <w:rsid w:val="000D44D2"/>
    <w:rsid w:val="009078A3"/>
    <w:rsid w:val="00937663"/>
    <w:rsid w:val="00C04DA3"/>
    <w:rsid w:val="00CD3714"/>
    <w:rsid w:val="00DE67C6"/>
    <w:rsid w:val="00F5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376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376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5A5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9078A3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937663"/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paragraph" w:styleId="NormalWeb">
    <w:name w:val="Normal (Web)"/>
    <w:basedOn w:val="Normal"/>
    <w:uiPriority w:val="99"/>
    <w:semiHidden/>
    <w:unhideWhenUsed/>
    <w:rsid w:val="0093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937663"/>
    <w:rPr>
      <w:b/>
      <w:bCs/>
    </w:rPr>
  </w:style>
  <w:style w:type="character" w:customStyle="1" w:styleId="apple-converted-space">
    <w:name w:val="apple-converted-space"/>
    <w:basedOn w:val="Fontepargpadro"/>
    <w:rsid w:val="00937663"/>
  </w:style>
  <w:style w:type="character" w:customStyle="1" w:styleId="Ttulo2Char">
    <w:name w:val="Título 2 Char"/>
    <w:basedOn w:val="Fontepargpadro"/>
    <w:link w:val="Ttulo2"/>
    <w:uiPriority w:val="9"/>
    <w:semiHidden/>
    <w:rsid w:val="0093766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376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376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5A5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9078A3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937663"/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paragraph" w:styleId="NormalWeb">
    <w:name w:val="Normal (Web)"/>
    <w:basedOn w:val="Normal"/>
    <w:uiPriority w:val="99"/>
    <w:semiHidden/>
    <w:unhideWhenUsed/>
    <w:rsid w:val="0093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937663"/>
    <w:rPr>
      <w:b/>
      <w:bCs/>
    </w:rPr>
  </w:style>
  <w:style w:type="character" w:customStyle="1" w:styleId="apple-converted-space">
    <w:name w:val="apple-converted-space"/>
    <w:basedOn w:val="Fontepargpadro"/>
    <w:rsid w:val="00937663"/>
  </w:style>
  <w:style w:type="character" w:customStyle="1" w:styleId="Ttulo2Char">
    <w:name w:val="Título 2 Char"/>
    <w:basedOn w:val="Fontepargpadro"/>
    <w:link w:val="Ttulo2"/>
    <w:uiPriority w:val="9"/>
    <w:semiHidden/>
    <w:rsid w:val="0093766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9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3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434667">
          <w:marLeft w:val="135"/>
          <w:marRight w:val="13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6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8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7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09485">
          <w:marLeft w:val="135"/>
          <w:marRight w:val="13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1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5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9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82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4355953">
                  <w:marLeft w:val="135"/>
                  <w:marRight w:val="135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75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96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4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358977">
          <w:marLeft w:val="135"/>
          <w:marRight w:val="13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0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9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845230">
                  <w:marLeft w:val="135"/>
                  <w:marRight w:val="135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63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29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gu.gov.br/assuntos/responsabilizacao-de-empresas/lei-anticorrupcao/imagens/infografico/acordo-de-leniencia.png/view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gu.gov.br/assuntos/responsabilizacao-de-empresas/lei-anticorrupcao/imagens/infografico/entenda-o-decreto.png/vie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cgu.gov.br/assuntos/responsabilizacao-de-empresas/lei-anticorrupcao/imagens/infografico/cadastros-nacionais.jpg/view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cgu.gov.br/assuntos/responsabilizacao-de-empresas/lei-anticorrupcao/imagens/infografico/multa.png/view" TargetMode="External"/><Relationship Id="rId5" Type="http://schemas.openxmlformats.org/officeDocument/2006/relationships/hyperlink" Target="http://www.planalto.gov.br/ccivil_03/_Ato2011-2014/2013/Lei/L12846.htm" TargetMode="External"/><Relationship Id="rId15" Type="http://schemas.openxmlformats.org/officeDocument/2006/relationships/hyperlink" Target="http://www.cgu.gov.br/assuntos/responsabilizacao-de-empresas/lei-anticorrupcao/imagens/infografico/compliance.png/view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cgu.gov.br/assuntos/responsabilizacao-de-empresas/lei-anticorrupcao/imagens/infografico/responsabilizacao.png/view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698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 xxx</dc:creator>
  <cp:keywords/>
  <dc:description/>
  <cp:lastModifiedBy>xxxx xxx</cp:lastModifiedBy>
  <cp:revision>4</cp:revision>
  <dcterms:created xsi:type="dcterms:W3CDTF">2016-02-24T22:34:00Z</dcterms:created>
  <dcterms:modified xsi:type="dcterms:W3CDTF">2016-02-26T08:49:00Z</dcterms:modified>
</cp:coreProperties>
</file>